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3D13" w14:textId="77777777" w:rsidR="00637E11" w:rsidRPr="00021D06" w:rsidRDefault="00637E11" w:rsidP="00637E11">
      <w:pPr>
        <w:pBdr>
          <w:bottom w:val="single" w:sz="4" w:space="1" w:color="auto"/>
        </w:pBdr>
        <w:spacing w:line="256" w:lineRule="auto"/>
        <w:ind w:left="720" w:hanging="720"/>
        <w:jc w:val="center"/>
        <w:rPr>
          <w:rFonts w:ascii="Calibri" w:eastAsia="Calibri" w:hAnsi="Calibri" w:cs="Times New Roman"/>
          <w:b/>
          <w:sz w:val="40"/>
          <w:szCs w:val="40"/>
        </w:rPr>
      </w:pPr>
      <w:r>
        <w:rPr>
          <w:rFonts w:ascii="Calibri" w:eastAsia="Calibri" w:hAnsi="Calibri" w:cs="Times New Roman"/>
          <w:b/>
          <w:sz w:val="40"/>
          <w:szCs w:val="40"/>
        </w:rPr>
        <w:t>Δελτίο Τύπου</w:t>
      </w:r>
    </w:p>
    <w:p w14:paraId="5E122FBE" w14:textId="77777777" w:rsidR="00474E5A" w:rsidRPr="00474E5A" w:rsidRDefault="00474E5A" w:rsidP="00474E5A">
      <w:pPr>
        <w:spacing w:before="240"/>
        <w:jc w:val="center"/>
        <w:rPr>
          <w:rFonts w:ascii="Calibri" w:hAnsi="Calibri" w:cs="Calibri"/>
          <w:b/>
          <w:bCs/>
          <w:sz w:val="24"/>
          <w:szCs w:val="24"/>
        </w:rPr>
      </w:pPr>
      <w:r w:rsidRPr="00474E5A">
        <w:rPr>
          <w:rFonts w:ascii="Calibri" w:hAnsi="Calibri" w:cs="Calibri"/>
          <w:b/>
          <w:bCs/>
          <w:sz w:val="24"/>
          <w:szCs w:val="24"/>
        </w:rPr>
        <w:t>Συμφωνία μεταξύ Διαχειριστών και Ευρωπαϊκής Επιτροπής για τον Κάθετο Διάδρομο</w:t>
      </w:r>
    </w:p>
    <w:p w14:paraId="7ABE7A77" w14:textId="77777777" w:rsidR="00474E5A" w:rsidRPr="00474E5A" w:rsidRDefault="00474E5A" w:rsidP="00474E5A">
      <w:pPr>
        <w:spacing w:before="240"/>
        <w:jc w:val="center"/>
        <w:rPr>
          <w:rFonts w:ascii="Calibri" w:hAnsi="Calibri" w:cs="Calibri"/>
          <w:b/>
          <w:bCs/>
        </w:rPr>
      </w:pPr>
      <w:r w:rsidRPr="00474E5A">
        <w:rPr>
          <w:rFonts w:ascii="Calibri" w:hAnsi="Calibri" w:cs="Calibri"/>
          <w:b/>
          <w:bCs/>
          <w:i/>
          <w:iCs/>
        </w:rPr>
        <w:t xml:space="preserve">Νέα </w:t>
      </w:r>
      <w:r w:rsidRPr="00474E5A">
        <w:rPr>
          <w:rFonts w:ascii="Calibri" w:hAnsi="Calibri" w:cs="Calibri"/>
          <w:b/>
          <w:bCs/>
        </w:rPr>
        <w:t>μακροπρόθεσμη λύση με ανταγωνιστικά τιμολόγια μεταφοράς ενισχύει την ελκυστικότητα του Κάθετου Διαδρόμου</w:t>
      </w:r>
    </w:p>
    <w:p w14:paraId="786D1D64" w14:textId="77777777" w:rsidR="00474E5A" w:rsidRPr="00666342" w:rsidRDefault="00474E5A" w:rsidP="00474E5A">
      <w:pPr>
        <w:spacing w:before="240"/>
        <w:jc w:val="both"/>
        <w:rPr>
          <w:rFonts w:ascii="Calibri" w:hAnsi="Calibri" w:cs="Calibri"/>
          <w:b/>
          <w:bCs/>
        </w:rPr>
      </w:pPr>
      <w:r w:rsidRPr="001A4A3F">
        <w:rPr>
          <w:rFonts w:ascii="Calibri" w:hAnsi="Calibri" w:cs="Calibri"/>
        </w:rPr>
        <w:t xml:space="preserve">Οι συμμετέχοντες </w:t>
      </w:r>
      <w:r w:rsidRPr="00666342">
        <w:rPr>
          <w:rFonts w:ascii="Calibri" w:hAnsi="Calibri" w:cs="Calibri"/>
          <w:b/>
          <w:bCs/>
        </w:rPr>
        <w:t>Διαχειριστές Συστημάτων Μεταφοράς</w:t>
      </w:r>
      <w:r w:rsidRPr="001A4A3F">
        <w:rPr>
          <w:rFonts w:ascii="Calibri" w:hAnsi="Calibri" w:cs="Calibri"/>
        </w:rPr>
        <w:t xml:space="preserve"> — </w:t>
      </w:r>
      <w:r w:rsidRPr="00666342">
        <w:rPr>
          <w:rFonts w:ascii="Calibri" w:hAnsi="Calibri" w:cs="Calibri"/>
          <w:b/>
          <w:bCs/>
        </w:rPr>
        <w:t>ΔΕΣΦΑ</w:t>
      </w:r>
      <w:r w:rsidRPr="001A4A3F">
        <w:rPr>
          <w:rFonts w:ascii="Calibri" w:hAnsi="Calibri" w:cs="Calibri"/>
        </w:rPr>
        <w:t xml:space="preserve"> (Ελλάδα), </w:t>
      </w:r>
      <w:r w:rsidRPr="00666342">
        <w:rPr>
          <w:rFonts w:ascii="Calibri" w:hAnsi="Calibri" w:cs="Calibri"/>
          <w:b/>
          <w:bCs/>
        </w:rPr>
        <w:t>BULGARTRANSGAZ</w:t>
      </w:r>
      <w:r w:rsidRPr="001A4A3F">
        <w:rPr>
          <w:rFonts w:ascii="Calibri" w:hAnsi="Calibri" w:cs="Calibri"/>
        </w:rPr>
        <w:t xml:space="preserve"> (Βουλγαρία), </w:t>
      </w:r>
      <w:r w:rsidRPr="00666342">
        <w:rPr>
          <w:rFonts w:ascii="Calibri" w:hAnsi="Calibri" w:cs="Calibri"/>
          <w:b/>
          <w:bCs/>
        </w:rPr>
        <w:t>TRANSGAZ</w:t>
      </w:r>
      <w:r w:rsidRPr="001A4A3F">
        <w:rPr>
          <w:rFonts w:ascii="Calibri" w:hAnsi="Calibri" w:cs="Calibri"/>
        </w:rPr>
        <w:t xml:space="preserve"> (Ρουμανία), </w:t>
      </w:r>
      <w:r w:rsidRPr="00666342">
        <w:rPr>
          <w:rFonts w:ascii="Calibri" w:hAnsi="Calibri" w:cs="Calibri"/>
          <w:b/>
          <w:bCs/>
        </w:rPr>
        <w:t>VESTMOLDTRANSGAZ</w:t>
      </w:r>
      <w:r w:rsidRPr="001A4A3F">
        <w:rPr>
          <w:rFonts w:ascii="Calibri" w:hAnsi="Calibri" w:cs="Calibri"/>
        </w:rPr>
        <w:t xml:space="preserve"> (Μολδαβία), </w:t>
      </w:r>
      <w:r w:rsidRPr="00666342">
        <w:rPr>
          <w:rFonts w:ascii="Calibri" w:hAnsi="Calibri" w:cs="Calibri"/>
          <w:b/>
          <w:bCs/>
        </w:rPr>
        <w:t>GTSOU</w:t>
      </w:r>
      <w:r w:rsidRPr="001A4A3F">
        <w:rPr>
          <w:rFonts w:ascii="Calibri" w:hAnsi="Calibri" w:cs="Calibri"/>
        </w:rPr>
        <w:t xml:space="preserve"> (Ουκρανία)</w:t>
      </w:r>
      <w:r>
        <w:rPr>
          <w:rFonts w:ascii="Calibri" w:hAnsi="Calibri" w:cs="Calibri"/>
        </w:rPr>
        <w:t>,</w:t>
      </w:r>
      <w:r w:rsidRPr="001A4A3F">
        <w:rPr>
          <w:rFonts w:ascii="Calibri" w:hAnsi="Calibri" w:cs="Calibri"/>
        </w:rPr>
        <w:t xml:space="preserve"> καθώς και ο ανεξάρτητος </w:t>
      </w:r>
      <w:r>
        <w:rPr>
          <w:rFonts w:ascii="Calibri" w:hAnsi="Calibri" w:cs="Calibri"/>
        </w:rPr>
        <w:t>διαχειριστής</w:t>
      </w:r>
      <w:r w:rsidRPr="001A4A3F">
        <w:rPr>
          <w:rFonts w:ascii="Calibri" w:hAnsi="Calibri" w:cs="Calibri"/>
        </w:rPr>
        <w:t xml:space="preserve"> </w:t>
      </w:r>
      <w:r w:rsidRPr="00666342">
        <w:rPr>
          <w:rFonts w:ascii="Calibri" w:hAnsi="Calibri" w:cs="Calibri"/>
          <w:b/>
          <w:bCs/>
        </w:rPr>
        <w:t>ICGB</w:t>
      </w:r>
      <w:r w:rsidRPr="001A4A3F">
        <w:rPr>
          <w:rFonts w:ascii="Calibri" w:hAnsi="Calibri" w:cs="Calibri"/>
        </w:rPr>
        <w:t xml:space="preserve">, κατέληξαν σήμερα στην Αθήνα σε μια </w:t>
      </w:r>
      <w:r w:rsidRPr="00666342">
        <w:rPr>
          <w:rFonts w:ascii="Calibri" w:hAnsi="Calibri" w:cs="Calibri"/>
          <w:b/>
          <w:bCs/>
        </w:rPr>
        <w:t>αμοιβαία αποδεκτή πρόταση</w:t>
      </w:r>
      <w:r w:rsidRPr="001A4A3F">
        <w:rPr>
          <w:rFonts w:ascii="Calibri" w:hAnsi="Calibri" w:cs="Calibri"/>
        </w:rPr>
        <w:t xml:space="preserve"> με την </w:t>
      </w:r>
      <w:r w:rsidRPr="00666342">
        <w:rPr>
          <w:rFonts w:ascii="Calibri" w:hAnsi="Calibri" w:cs="Calibri"/>
          <w:b/>
          <w:bCs/>
        </w:rPr>
        <w:t>Ευρωπαϊκή Επιτροπή</w:t>
      </w:r>
      <w:r w:rsidRPr="001A4A3F">
        <w:rPr>
          <w:rFonts w:ascii="Calibri" w:hAnsi="Calibri" w:cs="Calibri"/>
        </w:rPr>
        <w:t xml:space="preserve">, για την εμπορική προώθηση του </w:t>
      </w:r>
      <w:r w:rsidRPr="00666342">
        <w:rPr>
          <w:rFonts w:ascii="Calibri" w:hAnsi="Calibri" w:cs="Calibri"/>
          <w:b/>
          <w:bCs/>
        </w:rPr>
        <w:t>Διαβαλκανικού Αγωγού</w:t>
      </w:r>
      <w:r>
        <w:rPr>
          <w:rFonts w:ascii="Calibri" w:hAnsi="Calibri" w:cs="Calibri"/>
        </w:rPr>
        <w:t xml:space="preserve"> του </w:t>
      </w:r>
      <w:r w:rsidRPr="00666342">
        <w:rPr>
          <w:rFonts w:ascii="Calibri" w:hAnsi="Calibri" w:cs="Calibri"/>
          <w:b/>
          <w:bCs/>
        </w:rPr>
        <w:t>Κάθετου Διαδρόμου</w:t>
      </w:r>
      <w:r w:rsidRPr="001A4A3F">
        <w:rPr>
          <w:rFonts w:ascii="Calibri" w:hAnsi="Calibri" w:cs="Calibri"/>
        </w:rPr>
        <w:t xml:space="preserve">, μετά από εντατική συνεργασία και πολλαπλές διαβουλεύσεις. Σε ένα ταχέως εξελισσόμενο ενεργειακό τοπίο, η σημερινή συμφωνία σηματοδοτεί ένα ορόσημο για την ενεργειακή ολοκλήρωση της περιοχής, διαμορφώνοντας έναν </w:t>
      </w:r>
      <w:r w:rsidRPr="00666342">
        <w:rPr>
          <w:rFonts w:ascii="Calibri" w:hAnsi="Calibri" w:cs="Calibri"/>
          <w:b/>
          <w:bCs/>
        </w:rPr>
        <w:t>ανθεκτικό, ανταγωνιστικό και αξιόπιστο ενεργειακό διάδρομο στη Νοτιοανατολική και Κεντρική Ευρώπη.</w:t>
      </w:r>
    </w:p>
    <w:p w14:paraId="0D0D7067" w14:textId="77777777" w:rsidR="00474E5A" w:rsidRPr="001A4A3F" w:rsidRDefault="00474E5A" w:rsidP="00474E5A">
      <w:pPr>
        <w:spacing w:before="240"/>
        <w:jc w:val="both"/>
        <w:rPr>
          <w:rFonts w:ascii="Calibri" w:hAnsi="Calibri" w:cs="Calibri"/>
        </w:rPr>
      </w:pPr>
      <w:r w:rsidRPr="001A4A3F">
        <w:rPr>
          <w:rFonts w:ascii="Calibri" w:hAnsi="Calibri" w:cs="Calibri"/>
        </w:rPr>
        <w:t xml:space="preserve">Η νέα μεθοδολογία, που συμφωνήθηκε κατά τη διάρκεια τηλεδιάσκεψης με την </w:t>
      </w:r>
      <w:r w:rsidRPr="00AC1127">
        <w:rPr>
          <w:rFonts w:ascii="Calibri" w:hAnsi="Calibri" w:cs="Calibri"/>
          <w:b/>
          <w:bCs/>
        </w:rPr>
        <w:t>Ευρωπαϊκή Επιτροπή</w:t>
      </w:r>
      <w:r w:rsidRPr="001A4A3F">
        <w:rPr>
          <w:rFonts w:ascii="Calibri" w:hAnsi="Calibri" w:cs="Calibri"/>
        </w:rPr>
        <w:t xml:space="preserve"> και την παρουσία του </w:t>
      </w:r>
      <w:r w:rsidRPr="00AC1127">
        <w:rPr>
          <w:rFonts w:ascii="Calibri" w:hAnsi="Calibri" w:cs="Calibri"/>
          <w:b/>
          <w:bCs/>
        </w:rPr>
        <w:t>ACER</w:t>
      </w:r>
      <w:r w:rsidRPr="001A4A3F">
        <w:rPr>
          <w:rFonts w:ascii="Calibri" w:hAnsi="Calibri" w:cs="Calibri"/>
        </w:rPr>
        <w:t xml:space="preserve"> και των αντίστοιχων </w:t>
      </w:r>
      <w:r w:rsidRPr="00AC1127">
        <w:rPr>
          <w:rFonts w:ascii="Calibri" w:hAnsi="Calibri" w:cs="Calibri"/>
          <w:b/>
          <w:bCs/>
        </w:rPr>
        <w:t>Εθνικών Ρυθμιστικών Αρχών,</w:t>
      </w:r>
      <w:r w:rsidRPr="001A4A3F">
        <w:rPr>
          <w:rFonts w:ascii="Calibri" w:hAnsi="Calibri" w:cs="Calibri"/>
        </w:rPr>
        <w:t xml:space="preserve"> είναι </w:t>
      </w:r>
      <w:r w:rsidRPr="00AC1127">
        <w:rPr>
          <w:rFonts w:ascii="Calibri" w:hAnsi="Calibri" w:cs="Calibri"/>
          <w:b/>
          <w:bCs/>
        </w:rPr>
        <w:t>πλήρως ευθυγραμμισμένη με το κεκτημένο της ΕΕ</w:t>
      </w:r>
      <w:r w:rsidRPr="001A4A3F">
        <w:rPr>
          <w:rFonts w:ascii="Calibri" w:hAnsi="Calibri" w:cs="Calibri"/>
        </w:rPr>
        <w:t xml:space="preserve">. Η συμφωνία σηματοδοτεί τη μετάβαση σε μια </w:t>
      </w:r>
      <w:r w:rsidRPr="00AC1127">
        <w:rPr>
          <w:rFonts w:ascii="Calibri" w:hAnsi="Calibri" w:cs="Calibri"/>
          <w:b/>
          <w:bCs/>
        </w:rPr>
        <w:t>μακροπρόθεσμη λύση</w:t>
      </w:r>
      <w:r w:rsidRPr="001A4A3F">
        <w:rPr>
          <w:rFonts w:ascii="Calibri" w:hAnsi="Calibri" w:cs="Calibri"/>
        </w:rPr>
        <w:t xml:space="preserve">, πλήρως συμβατή με τους Κανονισμούς της ΕΕ, με ένα </w:t>
      </w:r>
      <w:r w:rsidRPr="00AC1127">
        <w:rPr>
          <w:rFonts w:ascii="Calibri" w:hAnsi="Calibri" w:cs="Calibri"/>
          <w:b/>
          <w:bCs/>
        </w:rPr>
        <w:t>διαφανές πλαίσιο τιμολόγησης</w:t>
      </w:r>
      <w:r w:rsidRPr="001A4A3F">
        <w:rPr>
          <w:rFonts w:ascii="Calibri" w:hAnsi="Calibri" w:cs="Calibri"/>
        </w:rPr>
        <w:t xml:space="preserve"> σε όλο το μήκος του Διαδρόμου, σύμφωνα με τις διατάξεις του </w:t>
      </w:r>
      <w:r w:rsidRPr="00AC1127">
        <w:rPr>
          <w:rFonts w:ascii="Calibri" w:hAnsi="Calibri" w:cs="Calibri"/>
          <w:b/>
          <w:bCs/>
        </w:rPr>
        <w:t>Κανονισμού 2017/460 της ΕΕ</w:t>
      </w:r>
      <w:r w:rsidRPr="001A4A3F">
        <w:rPr>
          <w:rFonts w:ascii="Calibri" w:hAnsi="Calibri" w:cs="Calibri"/>
        </w:rPr>
        <w:t xml:space="preserve">. Η συμφωνημένη εμπορική προσέγγιση εισάγει </w:t>
      </w:r>
      <w:r w:rsidRPr="00AC1127">
        <w:rPr>
          <w:rFonts w:ascii="Calibri" w:hAnsi="Calibri" w:cs="Calibri"/>
          <w:b/>
          <w:bCs/>
        </w:rPr>
        <w:t>νέα τιμολόγια</w:t>
      </w:r>
      <w:r w:rsidRPr="001A4A3F">
        <w:rPr>
          <w:rFonts w:ascii="Calibri" w:hAnsi="Calibri" w:cs="Calibri"/>
        </w:rPr>
        <w:t xml:space="preserve"> που καθιστούν τον Κάθετο Διάδρομο μια </w:t>
      </w:r>
      <w:r w:rsidRPr="00AC1127">
        <w:rPr>
          <w:rFonts w:ascii="Calibri" w:hAnsi="Calibri" w:cs="Calibri"/>
          <w:b/>
          <w:bCs/>
        </w:rPr>
        <w:t>εξαιρετικά ανταγωνιστική και στρατηγική ενεργειακή αρτηρία για τη Νοτιοανατολική και Κεντρική Ευρώπη</w:t>
      </w:r>
      <w:r w:rsidRPr="001A4A3F">
        <w:rPr>
          <w:rFonts w:ascii="Calibri" w:hAnsi="Calibri" w:cs="Calibri"/>
        </w:rPr>
        <w:t xml:space="preserve"> σε μια ιδιαίτερα κρίσιμη στιγμή για την ενεργειακή ασφάλεια της ηπείρου.</w:t>
      </w:r>
    </w:p>
    <w:p w14:paraId="579DE89F" w14:textId="77777777" w:rsidR="00474E5A" w:rsidRPr="0026662B" w:rsidRDefault="00474E5A" w:rsidP="00474E5A">
      <w:pPr>
        <w:spacing w:before="240"/>
        <w:jc w:val="both"/>
        <w:rPr>
          <w:rFonts w:ascii="Calibri" w:hAnsi="Calibri" w:cs="Calibri"/>
          <w:b/>
          <w:bCs/>
        </w:rPr>
      </w:pPr>
      <w:r w:rsidRPr="00EA0E01">
        <w:rPr>
          <w:rFonts w:ascii="Calibri" w:hAnsi="Calibri" w:cs="Calibri"/>
        </w:rPr>
        <w:t>Πιο συγκεκριμένα, οι Δ</w:t>
      </w:r>
      <w:r>
        <w:rPr>
          <w:rFonts w:ascii="Calibri" w:hAnsi="Calibri" w:cs="Calibri"/>
        </w:rPr>
        <w:t xml:space="preserve">ιαχειριστές </w:t>
      </w:r>
      <w:r w:rsidRPr="00EA0E01">
        <w:rPr>
          <w:rFonts w:ascii="Calibri" w:hAnsi="Calibri" w:cs="Calibri"/>
        </w:rPr>
        <w:t xml:space="preserve">θα προσφέρουν για πρώτη φορά το </w:t>
      </w:r>
      <w:r w:rsidRPr="00AC1127">
        <w:rPr>
          <w:rFonts w:ascii="Calibri" w:hAnsi="Calibri" w:cs="Calibri"/>
          <w:b/>
          <w:bCs/>
        </w:rPr>
        <w:t>πλήρες εύρος προϊόντων δυναμικότητας</w:t>
      </w:r>
      <w:r w:rsidRPr="00EA0E01">
        <w:rPr>
          <w:rFonts w:ascii="Calibri" w:hAnsi="Calibri" w:cs="Calibri"/>
        </w:rPr>
        <w:t xml:space="preserve"> σε </w:t>
      </w:r>
      <w:r w:rsidRPr="00AC1127">
        <w:rPr>
          <w:rFonts w:ascii="Calibri" w:hAnsi="Calibri" w:cs="Calibri"/>
          <w:b/>
          <w:bCs/>
        </w:rPr>
        <w:t>ημερήσια, μηνιαία, τριμηνιαία και ετήσια βάση</w:t>
      </w:r>
      <w:r w:rsidRPr="00EA0E01">
        <w:rPr>
          <w:rFonts w:ascii="Calibri" w:hAnsi="Calibri" w:cs="Calibri"/>
        </w:rPr>
        <w:t xml:space="preserve">, ξεκινώντας από το </w:t>
      </w:r>
      <w:r w:rsidRPr="00AC1127">
        <w:rPr>
          <w:rFonts w:ascii="Calibri" w:hAnsi="Calibri" w:cs="Calibri"/>
          <w:b/>
          <w:bCs/>
        </w:rPr>
        <w:t>έτος φυσικού αερίου 2026-2027 (Οκτώβριος 2026)</w:t>
      </w:r>
      <w:r>
        <w:rPr>
          <w:rFonts w:ascii="Calibri" w:hAnsi="Calibri" w:cs="Calibri"/>
        </w:rPr>
        <w:t xml:space="preserve"> </w:t>
      </w:r>
      <w:r w:rsidRPr="00EA0E01">
        <w:rPr>
          <w:rFonts w:ascii="Calibri" w:hAnsi="Calibri" w:cs="Calibri"/>
        </w:rPr>
        <w:t xml:space="preserve">σε </w:t>
      </w:r>
      <w:r w:rsidRPr="00AC1127">
        <w:rPr>
          <w:rFonts w:ascii="Calibri" w:hAnsi="Calibri" w:cs="Calibri"/>
          <w:b/>
          <w:bCs/>
        </w:rPr>
        <w:t>εξαιρετικά ανταγωνιστική τιμολόγηση.</w:t>
      </w:r>
      <w:r w:rsidRPr="00EA0E01">
        <w:rPr>
          <w:rFonts w:ascii="Calibri" w:hAnsi="Calibri" w:cs="Calibri"/>
        </w:rPr>
        <w:t xml:space="preserve"> Αυτή η τιμολογιακή προσέγγιση αυξάνει σημαντικά την ελκυστικότητα των προσφερόμενων προϊόντων, παρέχοντας παράλληλα στους χρήστες </w:t>
      </w:r>
      <w:r w:rsidRPr="00AC1127">
        <w:rPr>
          <w:rFonts w:ascii="Calibri" w:hAnsi="Calibri" w:cs="Calibri"/>
          <w:b/>
          <w:bCs/>
        </w:rPr>
        <w:t>βελτιωμένη ορατότητα κόστους</w:t>
      </w:r>
      <w:r w:rsidRPr="00EA0E01">
        <w:rPr>
          <w:rFonts w:ascii="Calibri" w:hAnsi="Calibri" w:cs="Calibri"/>
        </w:rPr>
        <w:t xml:space="preserve"> και </w:t>
      </w:r>
      <w:r w:rsidRPr="00AC1127">
        <w:rPr>
          <w:rFonts w:ascii="Calibri" w:hAnsi="Calibri" w:cs="Calibri"/>
          <w:b/>
          <w:bCs/>
        </w:rPr>
        <w:t>δυνατότητα μακροπρόθεσμου ενεργειακού σχεδιασμού.</w:t>
      </w:r>
      <w:r w:rsidRPr="00EA0E01">
        <w:rPr>
          <w:rFonts w:ascii="Calibri" w:hAnsi="Calibri" w:cs="Calibri"/>
        </w:rPr>
        <w:t xml:space="preserve"> Με αυτόν τον τρόπο, ο Κάθετος Διάδρομος εδραιώνεται ως </w:t>
      </w:r>
      <w:r w:rsidRPr="0026662B">
        <w:rPr>
          <w:rFonts w:ascii="Calibri" w:hAnsi="Calibri" w:cs="Calibri"/>
          <w:b/>
          <w:bCs/>
        </w:rPr>
        <w:t>κρίσιμη οδός ενεργειακού εφοδιασμού για την περιοχή</w:t>
      </w:r>
      <w:r w:rsidRPr="00EA0E01">
        <w:rPr>
          <w:rFonts w:ascii="Calibri" w:hAnsi="Calibri" w:cs="Calibri"/>
        </w:rPr>
        <w:t xml:space="preserve"> και ως </w:t>
      </w:r>
      <w:r w:rsidRPr="0026662B">
        <w:rPr>
          <w:rFonts w:ascii="Calibri" w:hAnsi="Calibri" w:cs="Calibri"/>
          <w:b/>
          <w:bCs/>
        </w:rPr>
        <w:t>ζωτικό εργαλείο για την ενίσχυση της διαφοροποίησης και της ενεργειακής ασφάλειας της Ευρώπης.</w:t>
      </w:r>
    </w:p>
    <w:p w14:paraId="5FF2075B" w14:textId="77777777" w:rsidR="00474E5A" w:rsidRPr="00EA0E01" w:rsidRDefault="00474E5A" w:rsidP="00474E5A">
      <w:pPr>
        <w:spacing w:before="240"/>
        <w:jc w:val="both"/>
        <w:rPr>
          <w:rFonts w:ascii="Calibri" w:hAnsi="Calibri" w:cs="Calibri"/>
        </w:rPr>
      </w:pPr>
      <w:r w:rsidRPr="00EA0E01">
        <w:rPr>
          <w:rFonts w:ascii="Calibri" w:hAnsi="Calibri" w:cs="Calibri"/>
        </w:rPr>
        <w:t>Για τη μεταβατική περίοδο μέχρι την πλήρη εφαρμογή των νέων προϊόντων, οι Δ</w:t>
      </w:r>
      <w:r>
        <w:rPr>
          <w:rFonts w:ascii="Calibri" w:hAnsi="Calibri" w:cs="Calibri"/>
        </w:rPr>
        <w:t>ιαχειριστές</w:t>
      </w:r>
      <w:r w:rsidRPr="00EA0E01">
        <w:rPr>
          <w:rFonts w:ascii="Calibri" w:hAnsi="Calibri" w:cs="Calibri"/>
        </w:rPr>
        <w:t xml:space="preserve"> υποβάλλουν </w:t>
      </w:r>
      <w:r w:rsidRPr="0026662B">
        <w:rPr>
          <w:rFonts w:ascii="Calibri" w:hAnsi="Calibri" w:cs="Calibri"/>
          <w:b/>
          <w:bCs/>
        </w:rPr>
        <w:t>αίτημα στις αρμόδιες εθνικές ρυθμιστικές αρχές για την παράταση της διαθεσιμότητας των υφιστάμενων προϊόντων έως τον Οκτώβριο του 2026,</w:t>
      </w:r>
      <w:r w:rsidRPr="00EA0E01">
        <w:rPr>
          <w:rFonts w:ascii="Calibri" w:hAnsi="Calibri" w:cs="Calibri"/>
        </w:rPr>
        <w:t xml:space="preserve"> </w:t>
      </w:r>
      <w:r>
        <w:rPr>
          <w:rFonts w:ascii="Calibri" w:hAnsi="Calibri" w:cs="Calibri"/>
        </w:rPr>
        <w:t>προκειμένου να υποστηρίξουν</w:t>
      </w:r>
      <w:r w:rsidRPr="00EA0E01">
        <w:rPr>
          <w:rFonts w:ascii="Calibri" w:hAnsi="Calibri" w:cs="Calibri"/>
        </w:rPr>
        <w:t xml:space="preserve"> την ασφάλεια εφοδιασμού της Ουκρανίας κατά τη μεταβατική </w:t>
      </w:r>
      <w:r>
        <w:rPr>
          <w:rFonts w:ascii="Calibri" w:hAnsi="Calibri" w:cs="Calibri"/>
        </w:rPr>
        <w:t>περίοδο</w:t>
      </w:r>
      <w:r w:rsidRPr="00EA0E01">
        <w:rPr>
          <w:rFonts w:ascii="Calibri" w:hAnsi="Calibri" w:cs="Calibri"/>
        </w:rPr>
        <w:t>.</w:t>
      </w:r>
    </w:p>
    <w:p w14:paraId="4224ED1A" w14:textId="32E07148" w:rsidR="00376D90" w:rsidRPr="00376D90" w:rsidRDefault="00376D90" w:rsidP="00376D90">
      <w:pPr>
        <w:jc w:val="both"/>
      </w:pPr>
    </w:p>
    <w:p w14:paraId="3802E873" w14:textId="77777777" w:rsidR="007F2AA7" w:rsidRDefault="007F2AA7" w:rsidP="007F2AA7">
      <w:pPr>
        <w:pStyle w:val="ListParagraph"/>
        <w:spacing w:line="256" w:lineRule="auto"/>
        <w:jc w:val="center"/>
        <w:rPr>
          <w:rFonts w:ascii="Calibri" w:eastAsia="Calibri" w:hAnsi="Calibri" w:cs="Times New Roman"/>
          <w:b/>
        </w:rPr>
      </w:pPr>
      <w:r w:rsidRPr="00A54BA4">
        <w:rPr>
          <w:rFonts w:ascii="Calibri" w:eastAsia="Calibri" w:hAnsi="Calibri" w:cs="Times New Roman"/>
          <w:b/>
        </w:rPr>
        <w:t>-</w:t>
      </w:r>
      <w:r w:rsidRPr="001757C0">
        <w:rPr>
          <w:rFonts w:ascii="Calibri" w:eastAsia="Calibri" w:hAnsi="Calibri" w:cs="Times New Roman"/>
          <w:b/>
        </w:rPr>
        <w:t>ΤΕΛΟΣ</w:t>
      </w:r>
      <w:r>
        <w:rPr>
          <w:rFonts w:ascii="Calibri" w:eastAsia="Calibri" w:hAnsi="Calibri" w:cs="Times New Roman"/>
          <w:b/>
        </w:rPr>
        <w:t xml:space="preserve">- </w:t>
      </w:r>
    </w:p>
    <w:p w14:paraId="1B6C0ADE" w14:textId="77777777" w:rsidR="006812D2" w:rsidRDefault="006812D2" w:rsidP="007F2AA7">
      <w:pPr>
        <w:pStyle w:val="ListParagraph"/>
        <w:spacing w:line="256" w:lineRule="auto"/>
        <w:jc w:val="center"/>
        <w:rPr>
          <w:rFonts w:ascii="Calibri" w:eastAsia="Calibri" w:hAnsi="Calibri" w:cs="Times New Roman"/>
          <w:b/>
        </w:rPr>
      </w:pPr>
    </w:p>
    <w:p w14:paraId="233C0E05" w14:textId="77777777" w:rsidR="007F2AA7" w:rsidRPr="007445B0" w:rsidRDefault="007F2AA7" w:rsidP="007F2AA7">
      <w:pPr>
        <w:spacing w:line="256" w:lineRule="auto"/>
        <w:jc w:val="both"/>
        <w:rPr>
          <w:rFonts w:ascii="Calibri" w:eastAsia="Calibri" w:hAnsi="Calibri" w:cs="Times New Roman"/>
          <w:b/>
          <w:bCs/>
          <w:sz w:val="20"/>
          <w:szCs w:val="20"/>
        </w:rPr>
      </w:pPr>
      <w:r w:rsidRPr="007445B0">
        <w:rPr>
          <w:rFonts w:ascii="Calibri" w:eastAsia="Calibri" w:hAnsi="Calibri" w:cs="Times New Roman"/>
          <w:b/>
          <w:bCs/>
          <w:sz w:val="20"/>
          <w:szCs w:val="20"/>
        </w:rPr>
        <w:t>Σχετικά με το Διαχειριστή Εθνικού Συστήματος Φυσικού Αερίου (ΔΕΣΦΑ) Α.Ε.</w:t>
      </w:r>
    </w:p>
    <w:p w14:paraId="51F2ACF5" w14:textId="77777777" w:rsidR="007F2AA7" w:rsidRPr="007445B0" w:rsidRDefault="007F2AA7" w:rsidP="007F2AA7">
      <w:pPr>
        <w:spacing w:line="256" w:lineRule="auto"/>
        <w:jc w:val="both"/>
        <w:rPr>
          <w:rFonts w:ascii="Calibri" w:eastAsia="Calibri" w:hAnsi="Calibri" w:cs="Times New Roman"/>
          <w:b/>
          <w:bCs/>
          <w:sz w:val="20"/>
          <w:szCs w:val="20"/>
        </w:rPr>
      </w:pPr>
      <w:r w:rsidRPr="007445B0">
        <w:rPr>
          <w:rFonts w:ascii="Calibri" w:eastAsia="Calibri" w:hAnsi="Calibri" w:cs="Times New Roman"/>
          <w:sz w:val="20"/>
          <w:szCs w:val="20"/>
        </w:rPr>
        <w:t xml:space="preserve">Ο Διαχειριστής του Εθνικού Συστήματος Φυσικού Αερίου (ΔΕΣΦΑ Α.Ε.) είναι υπεύθυνος για τη λειτουργία, διαχείριση, χρήση και ανάπτυξη του Ελληνικού Εθνικού Συστήματος Φυσικού Αερίου. Διαθέτοντας μεγάλη εμπειρία και υψηλά καταρτισμένο προσωπικό, ο ΔΕΣΦΑ αποτελεί τον πλέον κατάλληλο και αξιόπιστο εταίρο στο πλαίσιο των εν εξελίξει διεθνών ενεργειακών έργων στη Νοτιοανατολική Ευρώπη. Αποτελεί τον κινητήριο μοχλό ενός ενεργειακά βιώσιμου μέλλοντος, επιταχύνοντας την ενεργειακή μετάβαση της Ελλάδας προς μια οικονομία χωρίς άνθρακα. Μέτοχοι του ΔΕΣΦΑ είναι το Ελληνικό Δημόσιο με 34% και η </w:t>
      </w:r>
      <w:r w:rsidRPr="00E37825">
        <w:rPr>
          <w:rFonts w:ascii="Calibri" w:eastAsia="Calibri" w:hAnsi="Calibri" w:cs="Times New Roman"/>
          <w:sz w:val="20"/>
          <w:szCs w:val="20"/>
        </w:rPr>
        <w:t>Senfluga</w:t>
      </w:r>
      <w:r w:rsidRPr="007445B0">
        <w:rPr>
          <w:rFonts w:ascii="Calibri" w:eastAsia="Calibri" w:hAnsi="Calibri" w:cs="Times New Roman"/>
          <w:sz w:val="20"/>
          <w:szCs w:val="20"/>
        </w:rPr>
        <w:t xml:space="preserve"> </w:t>
      </w:r>
      <w:r w:rsidRPr="00E37825">
        <w:rPr>
          <w:rFonts w:ascii="Calibri" w:eastAsia="Calibri" w:hAnsi="Calibri" w:cs="Times New Roman"/>
          <w:sz w:val="20"/>
          <w:szCs w:val="20"/>
        </w:rPr>
        <w:t>S</w:t>
      </w:r>
      <w:r w:rsidRPr="007445B0">
        <w:rPr>
          <w:rFonts w:ascii="Calibri" w:eastAsia="Calibri" w:hAnsi="Calibri" w:cs="Times New Roman"/>
          <w:sz w:val="20"/>
          <w:szCs w:val="20"/>
        </w:rPr>
        <w:t>.</w:t>
      </w:r>
      <w:r w:rsidRPr="00E37825">
        <w:rPr>
          <w:rFonts w:ascii="Calibri" w:eastAsia="Calibri" w:hAnsi="Calibri" w:cs="Times New Roman"/>
          <w:sz w:val="20"/>
          <w:szCs w:val="20"/>
        </w:rPr>
        <w:t>A</w:t>
      </w:r>
      <w:r w:rsidRPr="007445B0">
        <w:rPr>
          <w:rFonts w:ascii="Calibri" w:eastAsia="Calibri" w:hAnsi="Calibri" w:cs="Times New Roman"/>
          <w:sz w:val="20"/>
          <w:szCs w:val="20"/>
        </w:rPr>
        <w:t xml:space="preserve">. με 66% (που αποτελείται από τις </w:t>
      </w:r>
      <w:r w:rsidRPr="00E37825">
        <w:rPr>
          <w:rFonts w:ascii="Calibri" w:eastAsia="Calibri" w:hAnsi="Calibri" w:cs="Times New Roman"/>
          <w:sz w:val="20"/>
          <w:szCs w:val="20"/>
        </w:rPr>
        <w:t>Snam</w:t>
      </w:r>
      <w:r w:rsidRPr="007445B0">
        <w:rPr>
          <w:rFonts w:ascii="Calibri" w:eastAsia="Calibri" w:hAnsi="Calibri" w:cs="Times New Roman"/>
          <w:sz w:val="20"/>
          <w:szCs w:val="20"/>
        </w:rPr>
        <w:t xml:space="preserve">, </w:t>
      </w:r>
      <w:r w:rsidRPr="00E37825">
        <w:rPr>
          <w:rFonts w:ascii="Calibri" w:eastAsia="Calibri" w:hAnsi="Calibri" w:cs="Times New Roman"/>
          <w:sz w:val="20"/>
          <w:szCs w:val="20"/>
        </w:rPr>
        <w:t>Enag</w:t>
      </w:r>
      <w:r w:rsidRPr="007445B0">
        <w:rPr>
          <w:rFonts w:ascii="Calibri" w:eastAsia="Calibri" w:hAnsi="Calibri" w:cs="Times New Roman"/>
          <w:sz w:val="20"/>
          <w:szCs w:val="20"/>
        </w:rPr>
        <w:t>á</w:t>
      </w:r>
      <w:r w:rsidRPr="00E37825">
        <w:rPr>
          <w:rFonts w:ascii="Calibri" w:eastAsia="Calibri" w:hAnsi="Calibri" w:cs="Times New Roman"/>
          <w:sz w:val="20"/>
          <w:szCs w:val="20"/>
        </w:rPr>
        <w:t>s</w:t>
      </w:r>
      <w:r w:rsidRPr="007445B0">
        <w:rPr>
          <w:rFonts w:ascii="Calibri" w:eastAsia="Calibri" w:hAnsi="Calibri" w:cs="Times New Roman"/>
          <w:sz w:val="20"/>
          <w:szCs w:val="20"/>
        </w:rPr>
        <w:t xml:space="preserve">, </w:t>
      </w:r>
      <w:r w:rsidRPr="00E37825">
        <w:rPr>
          <w:rFonts w:ascii="Calibri" w:eastAsia="Calibri" w:hAnsi="Calibri" w:cs="Times New Roman"/>
          <w:sz w:val="20"/>
          <w:szCs w:val="20"/>
        </w:rPr>
        <w:t>Fluxys</w:t>
      </w:r>
      <w:r w:rsidRPr="007445B0">
        <w:rPr>
          <w:rFonts w:ascii="Calibri" w:eastAsia="Calibri" w:hAnsi="Calibri" w:cs="Times New Roman"/>
          <w:sz w:val="20"/>
          <w:szCs w:val="20"/>
        </w:rPr>
        <w:t xml:space="preserve"> και </w:t>
      </w:r>
      <w:r w:rsidRPr="00E37825">
        <w:rPr>
          <w:rFonts w:ascii="Calibri" w:eastAsia="Calibri" w:hAnsi="Calibri" w:cs="Times New Roman"/>
          <w:sz w:val="20"/>
          <w:szCs w:val="20"/>
        </w:rPr>
        <w:t>Damco</w:t>
      </w:r>
      <w:r w:rsidRPr="007445B0">
        <w:rPr>
          <w:rFonts w:ascii="Calibri" w:eastAsia="Calibri" w:hAnsi="Calibri" w:cs="Times New Roman"/>
          <w:sz w:val="20"/>
          <w:szCs w:val="20"/>
        </w:rPr>
        <w:t>). Περισσότερες πληροφορίες για τον ΔΕΣΦΑ μπορείτε να βρείτε στην ιστοσελίδα του</w:t>
      </w:r>
      <w:r w:rsidRPr="007445B0">
        <w:rPr>
          <w:rFonts w:ascii="Calibri" w:eastAsia="Calibri" w:hAnsi="Calibri" w:cs="Times New Roman"/>
          <w:b/>
          <w:bCs/>
          <w:sz w:val="20"/>
          <w:szCs w:val="20"/>
        </w:rPr>
        <w:t xml:space="preserve"> </w:t>
      </w:r>
      <w:hyperlink r:id="rId8" w:history="1">
        <w:r w:rsidRPr="004D6333">
          <w:rPr>
            <w:rStyle w:val="Hyperlink"/>
            <w:rFonts w:ascii="Calibri" w:eastAsia="Calibri" w:hAnsi="Calibri" w:cs="Times New Roman"/>
            <w:b/>
            <w:bCs/>
            <w:sz w:val="20"/>
            <w:szCs w:val="20"/>
          </w:rPr>
          <w:t>www</w:t>
        </w:r>
        <w:r w:rsidRPr="007445B0">
          <w:rPr>
            <w:rStyle w:val="Hyperlink"/>
            <w:rFonts w:ascii="Calibri" w:eastAsia="Calibri" w:hAnsi="Calibri" w:cs="Times New Roman"/>
            <w:b/>
            <w:bCs/>
            <w:sz w:val="20"/>
            <w:szCs w:val="20"/>
          </w:rPr>
          <w:t>.</w:t>
        </w:r>
        <w:r w:rsidRPr="004D6333">
          <w:rPr>
            <w:rStyle w:val="Hyperlink"/>
            <w:rFonts w:ascii="Calibri" w:eastAsia="Calibri" w:hAnsi="Calibri" w:cs="Times New Roman"/>
            <w:b/>
            <w:bCs/>
            <w:sz w:val="20"/>
            <w:szCs w:val="20"/>
          </w:rPr>
          <w:t>desfa</w:t>
        </w:r>
        <w:r w:rsidRPr="007445B0">
          <w:rPr>
            <w:rStyle w:val="Hyperlink"/>
            <w:rFonts w:ascii="Calibri" w:eastAsia="Calibri" w:hAnsi="Calibri" w:cs="Times New Roman"/>
            <w:b/>
            <w:bCs/>
            <w:sz w:val="20"/>
            <w:szCs w:val="20"/>
          </w:rPr>
          <w:t>.</w:t>
        </w:r>
        <w:r w:rsidRPr="004D6333">
          <w:rPr>
            <w:rStyle w:val="Hyperlink"/>
            <w:rFonts w:ascii="Calibri" w:eastAsia="Calibri" w:hAnsi="Calibri" w:cs="Times New Roman"/>
            <w:b/>
            <w:bCs/>
            <w:sz w:val="20"/>
            <w:szCs w:val="20"/>
          </w:rPr>
          <w:t>gr</w:t>
        </w:r>
      </w:hyperlink>
      <w:r w:rsidRPr="007445B0">
        <w:rPr>
          <w:rFonts w:ascii="Calibri" w:eastAsia="Calibri" w:hAnsi="Calibri" w:cs="Times New Roman"/>
          <w:b/>
          <w:bCs/>
          <w:sz w:val="20"/>
          <w:szCs w:val="20"/>
        </w:rPr>
        <w:t xml:space="preserve">. </w:t>
      </w:r>
    </w:p>
    <w:p w14:paraId="65E2165B" w14:textId="77777777" w:rsidR="007F2AA7" w:rsidRPr="007445B0" w:rsidRDefault="007F2AA7" w:rsidP="007F2AA7">
      <w:pPr>
        <w:spacing w:after="0" w:line="240" w:lineRule="auto"/>
        <w:jc w:val="both"/>
        <w:rPr>
          <w:rFonts w:ascii="Calibri" w:eastAsia="Calibri" w:hAnsi="Calibri" w:cs="Calibri"/>
          <w:b/>
          <w:i/>
          <w:sz w:val="20"/>
          <w:szCs w:val="20"/>
          <w:u w:val="single"/>
        </w:rPr>
      </w:pPr>
      <w:r w:rsidRPr="007445B0">
        <w:rPr>
          <w:rFonts w:ascii="Calibri" w:eastAsia="Calibri" w:hAnsi="Calibri" w:cs="Calibri"/>
          <w:b/>
          <w:i/>
          <w:sz w:val="20"/>
          <w:szCs w:val="20"/>
          <w:u w:val="single"/>
        </w:rPr>
        <w:t>Για περισσότερες πληροφορίες μπορείτε να επικοινωνείτε:</w:t>
      </w:r>
    </w:p>
    <w:p w14:paraId="2D809BB8" w14:textId="77777777" w:rsidR="007F2AA7" w:rsidRPr="007445B0" w:rsidRDefault="007F2AA7" w:rsidP="007F2AA7">
      <w:pPr>
        <w:spacing w:after="0" w:line="240" w:lineRule="auto"/>
        <w:jc w:val="both"/>
        <w:rPr>
          <w:rFonts w:ascii="Calibri" w:eastAsia="Calibri" w:hAnsi="Calibri" w:cs="Calibri"/>
          <w:i/>
          <w:sz w:val="20"/>
          <w:szCs w:val="20"/>
        </w:rPr>
      </w:pPr>
    </w:p>
    <w:p w14:paraId="39E2A295" w14:textId="77777777" w:rsidR="007F2AA7" w:rsidRPr="007445B0" w:rsidRDefault="007F2AA7" w:rsidP="007F2AA7">
      <w:pPr>
        <w:spacing w:after="0" w:line="240" w:lineRule="auto"/>
        <w:jc w:val="both"/>
        <w:rPr>
          <w:rFonts w:ascii="Calibri" w:eastAsia="Calibri" w:hAnsi="Calibri" w:cs="Calibri"/>
          <w:i/>
          <w:sz w:val="20"/>
          <w:szCs w:val="20"/>
        </w:rPr>
      </w:pPr>
      <w:r w:rsidRPr="007445B0">
        <w:rPr>
          <w:rFonts w:ascii="Calibri" w:eastAsia="Calibri" w:hAnsi="Calibri" w:cs="Calibri"/>
          <w:i/>
          <w:sz w:val="20"/>
          <w:szCs w:val="20"/>
        </w:rPr>
        <w:t xml:space="preserve">Νατάσα Χατζηαντωνίου, ΔΕΣΦΑ, τηλ. 213 088 4058, </w:t>
      </w:r>
    </w:p>
    <w:p w14:paraId="46840592" w14:textId="77777777" w:rsidR="007F2AA7" w:rsidRPr="00E348B1" w:rsidRDefault="007F2AA7" w:rsidP="007F2AA7">
      <w:pPr>
        <w:spacing w:after="0" w:line="240" w:lineRule="auto"/>
        <w:jc w:val="both"/>
        <w:rPr>
          <w:rFonts w:ascii="Calibri" w:eastAsia="Calibri" w:hAnsi="Calibri" w:cs="Calibri"/>
          <w:i/>
          <w:sz w:val="20"/>
          <w:szCs w:val="20"/>
        </w:rPr>
      </w:pPr>
      <w:r w:rsidRPr="004E6EBD">
        <w:rPr>
          <w:rFonts w:ascii="Calibri" w:eastAsia="Calibri" w:hAnsi="Calibri" w:cs="Calibri"/>
          <w:i/>
          <w:sz w:val="20"/>
          <w:szCs w:val="20"/>
          <w:lang w:val="en-GB"/>
        </w:rPr>
        <w:t>email</w:t>
      </w:r>
      <w:r w:rsidRPr="00E348B1">
        <w:rPr>
          <w:rFonts w:ascii="Calibri" w:eastAsia="Calibri" w:hAnsi="Calibri" w:cs="Calibri"/>
          <w:i/>
          <w:sz w:val="20"/>
          <w:szCs w:val="20"/>
        </w:rPr>
        <w:t xml:space="preserve">: </w:t>
      </w:r>
      <w:hyperlink r:id="rId9" w:history="1">
        <w:r w:rsidRPr="004E6EBD">
          <w:rPr>
            <w:rFonts w:ascii="Calibri" w:eastAsia="Calibri" w:hAnsi="Calibri" w:cs="Calibri"/>
            <w:i/>
            <w:color w:val="0563C1"/>
            <w:sz w:val="20"/>
            <w:szCs w:val="20"/>
            <w:u w:val="single"/>
            <w:lang w:val="en-GB"/>
          </w:rPr>
          <w:t>a</w:t>
        </w:r>
        <w:r w:rsidRPr="00E348B1">
          <w:rPr>
            <w:rFonts w:ascii="Calibri" w:eastAsia="Calibri" w:hAnsi="Calibri" w:cs="Calibri"/>
            <w:i/>
            <w:color w:val="0563C1"/>
            <w:sz w:val="20"/>
            <w:szCs w:val="20"/>
            <w:u w:val="single"/>
          </w:rPr>
          <w:t>.</w:t>
        </w:r>
        <w:r w:rsidRPr="004E6EBD">
          <w:rPr>
            <w:rFonts w:ascii="Calibri" w:eastAsia="Calibri" w:hAnsi="Calibri" w:cs="Calibri"/>
            <w:i/>
            <w:color w:val="0563C1"/>
            <w:sz w:val="20"/>
            <w:szCs w:val="20"/>
            <w:u w:val="single"/>
            <w:lang w:val="en-GB"/>
          </w:rPr>
          <w:t>chatziantoniou</w:t>
        </w:r>
        <w:r w:rsidRPr="00E348B1">
          <w:rPr>
            <w:rFonts w:ascii="Calibri" w:eastAsia="Calibri" w:hAnsi="Calibri" w:cs="Calibri"/>
            <w:i/>
            <w:color w:val="0563C1"/>
            <w:sz w:val="20"/>
            <w:szCs w:val="20"/>
            <w:u w:val="single"/>
          </w:rPr>
          <w:t>@</w:t>
        </w:r>
        <w:r w:rsidRPr="004E6EBD">
          <w:rPr>
            <w:rFonts w:ascii="Calibri" w:eastAsia="Calibri" w:hAnsi="Calibri" w:cs="Calibri"/>
            <w:i/>
            <w:color w:val="0563C1"/>
            <w:sz w:val="20"/>
            <w:szCs w:val="20"/>
            <w:u w:val="single"/>
            <w:lang w:val="en-GB"/>
          </w:rPr>
          <w:t>desfa</w:t>
        </w:r>
        <w:r w:rsidRPr="00E348B1">
          <w:rPr>
            <w:rFonts w:ascii="Calibri" w:eastAsia="Calibri" w:hAnsi="Calibri" w:cs="Calibri"/>
            <w:i/>
            <w:color w:val="0563C1"/>
            <w:sz w:val="20"/>
            <w:szCs w:val="20"/>
            <w:u w:val="single"/>
          </w:rPr>
          <w:t>.</w:t>
        </w:r>
        <w:r w:rsidRPr="004E6EBD">
          <w:rPr>
            <w:rFonts w:ascii="Calibri" w:eastAsia="Calibri" w:hAnsi="Calibri" w:cs="Calibri"/>
            <w:i/>
            <w:color w:val="0563C1"/>
            <w:sz w:val="20"/>
            <w:szCs w:val="20"/>
            <w:u w:val="single"/>
            <w:lang w:val="en-GB"/>
          </w:rPr>
          <w:t>gr</w:t>
        </w:r>
      </w:hyperlink>
      <w:r w:rsidRPr="00E348B1">
        <w:rPr>
          <w:rFonts w:ascii="Calibri" w:eastAsia="Calibri" w:hAnsi="Calibri" w:cs="Calibri"/>
          <w:i/>
          <w:sz w:val="20"/>
          <w:szCs w:val="20"/>
        </w:rPr>
        <w:t xml:space="preserve"> </w:t>
      </w:r>
    </w:p>
    <w:p w14:paraId="51D68AE7" w14:textId="77777777" w:rsidR="007F2AA7" w:rsidRPr="00E348B1" w:rsidRDefault="007F2AA7" w:rsidP="007F2AA7">
      <w:pPr>
        <w:spacing w:after="0" w:line="240" w:lineRule="auto"/>
        <w:jc w:val="both"/>
        <w:rPr>
          <w:rFonts w:ascii="Calibri" w:eastAsia="Calibri" w:hAnsi="Calibri" w:cs="Calibri"/>
          <w:i/>
          <w:sz w:val="20"/>
          <w:szCs w:val="20"/>
        </w:rPr>
      </w:pPr>
    </w:p>
    <w:p w14:paraId="2E9BAA18" w14:textId="77777777" w:rsidR="007F2AA7" w:rsidRPr="00404B3C" w:rsidRDefault="007F2AA7" w:rsidP="007F2AA7">
      <w:pPr>
        <w:spacing w:after="0" w:line="240" w:lineRule="auto"/>
        <w:jc w:val="both"/>
        <w:rPr>
          <w:rFonts w:ascii="Calibri" w:eastAsia="Calibri" w:hAnsi="Calibri" w:cs="Calibri"/>
          <w:i/>
          <w:sz w:val="20"/>
          <w:szCs w:val="20"/>
          <w:lang w:val="en-US"/>
        </w:rPr>
      </w:pPr>
      <w:r w:rsidRPr="007967C5">
        <w:rPr>
          <w:rFonts w:ascii="Calibri" w:eastAsia="Calibri" w:hAnsi="Calibri" w:cs="Calibri"/>
          <w:i/>
          <w:sz w:val="20"/>
          <w:szCs w:val="20"/>
        </w:rPr>
        <w:t>Έλλη</w:t>
      </w:r>
      <w:r w:rsidRPr="00404B3C">
        <w:rPr>
          <w:rFonts w:ascii="Calibri" w:eastAsia="Calibri" w:hAnsi="Calibri" w:cs="Calibri"/>
          <w:i/>
          <w:sz w:val="20"/>
          <w:szCs w:val="20"/>
          <w:lang w:val="en-US"/>
        </w:rPr>
        <w:t xml:space="preserve"> </w:t>
      </w:r>
      <w:r w:rsidRPr="007967C5">
        <w:rPr>
          <w:rFonts w:ascii="Calibri" w:eastAsia="Calibri" w:hAnsi="Calibri" w:cs="Calibri"/>
          <w:i/>
          <w:sz w:val="20"/>
          <w:szCs w:val="20"/>
        </w:rPr>
        <w:t>Ζώτου</w:t>
      </w:r>
      <w:r w:rsidRPr="00404B3C">
        <w:rPr>
          <w:rFonts w:ascii="Calibri" w:eastAsia="Calibri" w:hAnsi="Calibri" w:cs="Calibri"/>
          <w:i/>
          <w:sz w:val="20"/>
          <w:szCs w:val="20"/>
          <w:lang w:val="en-US"/>
        </w:rPr>
        <w:t xml:space="preserve">, White Ad, </w:t>
      </w:r>
      <w:r w:rsidRPr="007967C5">
        <w:rPr>
          <w:rFonts w:ascii="Calibri" w:eastAsia="Calibri" w:hAnsi="Calibri" w:cs="Calibri"/>
          <w:i/>
          <w:sz w:val="20"/>
          <w:szCs w:val="20"/>
        </w:rPr>
        <w:t>τηλ</w:t>
      </w:r>
      <w:r w:rsidRPr="00404B3C">
        <w:rPr>
          <w:rFonts w:ascii="Calibri" w:eastAsia="Calibri" w:hAnsi="Calibri" w:cs="Calibri"/>
          <w:i/>
          <w:sz w:val="20"/>
          <w:szCs w:val="20"/>
          <w:lang w:val="en-US"/>
        </w:rPr>
        <w:t>.694 55 95 010,</w:t>
      </w:r>
    </w:p>
    <w:p w14:paraId="24D91CF5" w14:textId="7AA5095B" w:rsidR="007F2AA7" w:rsidRDefault="007F2AA7" w:rsidP="007F2AA7">
      <w:pPr>
        <w:spacing w:after="0" w:line="240" w:lineRule="auto"/>
        <w:jc w:val="both"/>
        <w:rPr>
          <w:rFonts w:ascii="Calibri" w:eastAsia="Calibri" w:hAnsi="Calibri" w:cs="Calibri"/>
          <w:i/>
          <w:sz w:val="20"/>
          <w:szCs w:val="20"/>
          <w:lang w:val="en-US"/>
        </w:rPr>
      </w:pPr>
      <w:r w:rsidRPr="00404B3C">
        <w:rPr>
          <w:rFonts w:ascii="Calibri" w:eastAsia="Calibri" w:hAnsi="Calibri" w:cs="Calibri"/>
          <w:i/>
          <w:sz w:val="20"/>
          <w:szCs w:val="20"/>
          <w:lang w:val="en-US"/>
        </w:rPr>
        <w:t>email:</w:t>
      </w:r>
      <w:r w:rsidRPr="00404B3C">
        <w:rPr>
          <w:lang w:val="en-US"/>
        </w:rPr>
        <w:t xml:space="preserve"> </w:t>
      </w:r>
      <w:r w:rsidRPr="00404B3C">
        <w:rPr>
          <w:rFonts w:ascii="Calibri" w:eastAsia="Calibri" w:hAnsi="Calibri" w:cs="Calibri"/>
          <w:i/>
          <w:sz w:val="20"/>
          <w:szCs w:val="20"/>
          <w:lang w:val="en-US"/>
        </w:rPr>
        <w:t xml:space="preserve"> </w:t>
      </w:r>
      <w:hyperlink r:id="rId10" w:history="1">
        <w:r w:rsidR="00B36F87" w:rsidRPr="00C71058">
          <w:rPr>
            <w:rStyle w:val="Hyperlink"/>
            <w:rFonts w:ascii="Calibri" w:eastAsia="Calibri" w:hAnsi="Calibri" w:cs="Calibri"/>
            <w:i/>
            <w:sz w:val="20"/>
            <w:szCs w:val="20"/>
            <w:lang w:val="en-US"/>
          </w:rPr>
          <w:t>e.zotou@white-athens.agency</w:t>
        </w:r>
      </w:hyperlink>
    </w:p>
    <w:p w14:paraId="7C79E188" w14:textId="77777777" w:rsidR="00B36F87" w:rsidRPr="00404B3C" w:rsidRDefault="00B36F87" w:rsidP="007F2AA7">
      <w:pPr>
        <w:spacing w:after="0" w:line="240" w:lineRule="auto"/>
        <w:jc w:val="both"/>
        <w:rPr>
          <w:rFonts w:ascii="Calibri" w:eastAsia="Calibri" w:hAnsi="Calibri" w:cs="Calibri"/>
          <w:i/>
          <w:sz w:val="20"/>
          <w:szCs w:val="20"/>
          <w:lang w:val="en-US"/>
        </w:rPr>
      </w:pPr>
    </w:p>
    <w:p w14:paraId="3838AC5C" w14:textId="77777777" w:rsidR="007F2AA7" w:rsidRPr="00EB6DD3" w:rsidRDefault="007F2AA7" w:rsidP="007F2AA7">
      <w:pPr>
        <w:spacing w:after="0" w:line="240" w:lineRule="auto"/>
        <w:jc w:val="both"/>
        <w:rPr>
          <w:rFonts w:ascii="Calibri" w:eastAsia="Calibri" w:hAnsi="Calibri" w:cs="Times New Roman"/>
          <w:i/>
          <w:iCs/>
          <w:sz w:val="28"/>
          <w:szCs w:val="28"/>
          <w:lang w:val="en-GB"/>
        </w:rPr>
      </w:pPr>
    </w:p>
    <w:p w14:paraId="71391897" w14:textId="77777777" w:rsidR="007F2AA7" w:rsidRPr="00404B3C" w:rsidRDefault="007F2AA7" w:rsidP="007F2AA7">
      <w:pPr>
        <w:pStyle w:val="ListParagraph"/>
        <w:spacing w:after="0" w:line="240" w:lineRule="auto"/>
        <w:jc w:val="both"/>
        <w:rPr>
          <w:rFonts w:ascii="Calibri" w:eastAsia="Calibri" w:hAnsi="Calibri" w:cs="Times New Roman"/>
          <w:lang w:val="en-US"/>
        </w:rPr>
      </w:pPr>
    </w:p>
    <w:p w14:paraId="58A91E6C" w14:textId="77777777" w:rsidR="00BD29E3" w:rsidRPr="00236741" w:rsidRDefault="00BD29E3">
      <w:pPr>
        <w:rPr>
          <w:lang w:val="en-US"/>
        </w:rPr>
      </w:pPr>
    </w:p>
    <w:sectPr w:rsidR="00BD29E3" w:rsidRPr="00236741">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DF47" w14:textId="77777777" w:rsidR="00C71B3A" w:rsidRDefault="00C71B3A" w:rsidP="00637E11">
      <w:pPr>
        <w:spacing w:after="0" w:line="240" w:lineRule="auto"/>
      </w:pPr>
      <w:r>
        <w:separator/>
      </w:r>
    </w:p>
  </w:endnote>
  <w:endnote w:type="continuationSeparator" w:id="0">
    <w:p w14:paraId="14165930" w14:textId="77777777" w:rsidR="00C71B3A" w:rsidRDefault="00C71B3A" w:rsidP="0063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8F5E0" w14:textId="77777777" w:rsidR="00C71B3A" w:rsidRDefault="00C71B3A" w:rsidP="00637E11">
      <w:pPr>
        <w:spacing w:after="0" w:line="240" w:lineRule="auto"/>
      </w:pPr>
      <w:r>
        <w:separator/>
      </w:r>
    </w:p>
  </w:footnote>
  <w:footnote w:type="continuationSeparator" w:id="0">
    <w:p w14:paraId="4D7C4257" w14:textId="77777777" w:rsidR="00C71B3A" w:rsidRDefault="00C71B3A" w:rsidP="00637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623B" w14:textId="2F27957F" w:rsidR="00637E11" w:rsidRDefault="00637E11">
    <w:pPr>
      <w:pStyle w:val="Header"/>
    </w:pPr>
    <w:r>
      <w:rPr>
        <w:noProof/>
      </w:rPr>
      <w:drawing>
        <wp:inline distT="0" distB="0" distL="0" distR="0" wp14:anchorId="1C9EFFE8" wp14:editId="1ACC27CC">
          <wp:extent cx="1426845" cy="511810"/>
          <wp:effectExtent l="0" t="0" r="1905" b="2540"/>
          <wp:docPr id="1981195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1A48"/>
    <w:multiLevelType w:val="hybridMultilevel"/>
    <w:tmpl w:val="4F0AAAFA"/>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num w:numId="1" w16cid:durableId="33207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7B"/>
    <w:rsid w:val="0004070E"/>
    <w:rsid w:val="00050427"/>
    <w:rsid w:val="0008267E"/>
    <w:rsid w:val="000C3DC1"/>
    <w:rsid w:val="000C6BEF"/>
    <w:rsid w:val="000D5002"/>
    <w:rsid w:val="000F072F"/>
    <w:rsid w:val="000F7D87"/>
    <w:rsid w:val="00104EDC"/>
    <w:rsid w:val="001069F1"/>
    <w:rsid w:val="00115089"/>
    <w:rsid w:val="00121B89"/>
    <w:rsid w:val="00123521"/>
    <w:rsid w:val="0014737C"/>
    <w:rsid w:val="0016319A"/>
    <w:rsid w:val="00163AE4"/>
    <w:rsid w:val="001827E0"/>
    <w:rsid w:val="00182A7E"/>
    <w:rsid w:val="001A6986"/>
    <w:rsid w:val="0021747B"/>
    <w:rsid w:val="00236741"/>
    <w:rsid w:val="00251890"/>
    <w:rsid w:val="00270B80"/>
    <w:rsid w:val="00272794"/>
    <w:rsid w:val="00274BAE"/>
    <w:rsid w:val="002818CD"/>
    <w:rsid w:val="00287D2C"/>
    <w:rsid w:val="00290AA4"/>
    <w:rsid w:val="002E021A"/>
    <w:rsid w:val="00310E75"/>
    <w:rsid w:val="00344CFD"/>
    <w:rsid w:val="0035378A"/>
    <w:rsid w:val="00353DC2"/>
    <w:rsid w:val="003555E5"/>
    <w:rsid w:val="003570DC"/>
    <w:rsid w:val="00376D90"/>
    <w:rsid w:val="0038008B"/>
    <w:rsid w:val="00393CC1"/>
    <w:rsid w:val="003B2C1D"/>
    <w:rsid w:val="003E68D8"/>
    <w:rsid w:val="003F3D46"/>
    <w:rsid w:val="00404B3C"/>
    <w:rsid w:val="00417DD3"/>
    <w:rsid w:val="004506D9"/>
    <w:rsid w:val="00452A7E"/>
    <w:rsid w:val="0045398C"/>
    <w:rsid w:val="004607CB"/>
    <w:rsid w:val="004723AC"/>
    <w:rsid w:val="00474E5A"/>
    <w:rsid w:val="00493435"/>
    <w:rsid w:val="00496F48"/>
    <w:rsid w:val="004A1062"/>
    <w:rsid w:val="004A3EDA"/>
    <w:rsid w:val="004B2CAF"/>
    <w:rsid w:val="004B5A07"/>
    <w:rsid w:val="004B5ED8"/>
    <w:rsid w:val="004C5A19"/>
    <w:rsid w:val="004D1002"/>
    <w:rsid w:val="004F7522"/>
    <w:rsid w:val="0050583A"/>
    <w:rsid w:val="0051692C"/>
    <w:rsid w:val="00517BED"/>
    <w:rsid w:val="005207D7"/>
    <w:rsid w:val="00527369"/>
    <w:rsid w:val="005635BB"/>
    <w:rsid w:val="00581E5E"/>
    <w:rsid w:val="00595E52"/>
    <w:rsid w:val="005969C5"/>
    <w:rsid w:val="005A2205"/>
    <w:rsid w:val="005C3C39"/>
    <w:rsid w:val="00633AD8"/>
    <w:rsid w:val="00637E11"/>
    <w:rsid w:val="00657231"/>
    <w:rsid w:val="00670E18"/>
    <w:rsid w:val="0067763B"/>
    <w:rsid w:val="006812D2"/>
    <w:rsid w:val="00682AC9"/>
    <w:rsid w:val="0068315E"/>
    <w:rsid w:val="006A3800"/>
    <w:rsid w:val="006A7010"/>
    <w:rsid w:val="006B2C93"/>
    <w:rsid w:val="006E7F21"/>
    <w:rsid w:val="00726E02"/>
    <w:rsid w:val="007363BB"/>
    <w:rsid w:val="007672FF"/>
    <w:rsid w:val="007807B7"/>
    <w:rsid w:val="00783026"/>
    <w:rsid w:val="0078377E"/>
    <w:rsid w:val="00791296"/>
    <w:rsid w:val="007A3E86"/>
    <w:rsid w:val="007C47D2"/>
    <w:rsid w:val="007E5C61"/>
    <w:rsid w:val="007F2AA7"/>
    <w:rsid w:val="00813868"/>
    <w:rsid w:val="00833670"/>
    <w:rsid w:val="008A0002"/>
    <w:rsid w:val="008A608D"/>
    <w:rsid w:val="008C18BA"/>
    <w:rsid w:val="008F4E9B"/>
    <w:rsid w:val="00923B75"/>
    <w:rsid w:val="00930405"/>
    <w:rsid w:val="00936B49"/>
    <w:rsid w:val="00997D88"/>
    <w:rsid w:val="009B28DD"/>
    <w:rsid w:val="009B5EFC"/>
    <w:rsid w:val="009B7486"/>
    <w:rsid w:val="009F4001"/>
    <w:rsid w:val="00A347B4"/>
    <w:rsid w:val="00A41691"/>
    <w:rsid w:val="00AD0C93"/>
    <w:rsid w:val="00AD4551"/>
    <w:rsid w:val="00B01DBF"/>
    <w:rsid w:val="00B2714E"/>
    <w:rsid w:val="00B36F87"/>
    <w:rsid w:val="00B73A2D"/>
    <w:rsid w:val="00B81EEA"/>
    <w:rsid w:val="00BD29E3"/>
    <w:rsid w:val="00BD30C8"/>
    <w:rsid w:val="00BF1119"/>
    <w:rsid w:val="00C03400"/>
    <w:rsid w:val="00C3087A"/>
    <w:rsid w:val="00C51C5E"/>
    <w:rsid w:val="00C71B3A"/>
    <w:rsid w:val="00C85887"/>
    <w:rsid w:val="00CC0D24"/>
    <w:rsid w:val="00CF423F"/>
    <w:rsid w:val="00D03972"/>
    <w:rsid w:val="00D45975"/>
    <w:rsid w:val="00D65F54"/>
    <w:rsid w:val="00D966F3"/>
    <w:rsid w:val="00DC1A4A"/>
    <w:rsid w:val="00DD2CB1"/>
    <w:rsid w:val="00DD4544"/>
    <w:rsid w:val="00DF0BD5"/>
    <w:rsid w:val="00E42F81"/>
    <w:rsid w:val="00E62956"/>
    <w:rsid w:val="00E93C81"/>
    <w:rsid w:val="00EE3E32"/>
    <w:rsid w:val="00F51759"/>
    <w:rsid w:val="00F74D70"/>
    <w:rsid w:val="00F830CE"/>
    <w:rsid w:val="00FA0A0C"/>
    <w:rsid w:val="00FB7BF1"/>
    <w:rsid w:val="00FC5379"/>
    <w:rsid w:val="00FE5107"/>
    <w:rsid w:val="00FE70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371BC"/>
  <w15:chartTrackingRefBased/>
  <w15:docId w15:val="{4F55CF10-A46B-4621-8B3B-5A3CE6A1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47B"/>
  </w:style>
  <w:style w:type="paragraph" w:styleId="Heading1">
    <w:name w:val="heading 1"/>
    <w:basedOn w:val="Normal"/>
    <w:next w:val="Normal"/>
    <w:link w:val="Heading1Char"/>
    <w:uiPriority w:val="9"/>
    <w:qFormat/>
    <w:rsid w:val="0021747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1747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1747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1747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1747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17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47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1747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1747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1747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1747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17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47B"/>
    <w:rPr>
      <w:rFonts w:eastAsiaTheme="majorEastAsia" w:cstheme="majorBidi"/>
      <w:color w:val="272727" w:themeColor="text1" w:themeTint="D8"/>
    </w:rPr>
  </w:style>
  <w:style w:type="paragraph" w:styleId="Title">
    <w:name w:val="Title"/>
    <w:basedOn w:val="Normal"/>
    <w:next w:val="Normal"/>
    <w:link w:val="TitleChar"/>
    <w:uiPriority w:val="10"/>
    <w:qFormat/>
    <w:rsid w:val="00217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4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4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747B"/>
    <w:rPr>
      <w:i/>
      <w:iCs/>
      <w:color w:val="404040" w:themeColor="text1" w:themeTint="BF"/>
    </w:rPr>
  </w:style>
  <w:style w:type="paragraph" w:styleId="ListParagraph">
    <w:name w:val="List Paragraph"/>
    <w:basedOn w:val="Normal"/>
    <w:uiPriority w:val="34"/>
    <w:qFormat/>
    <w:rsid w:val="0021747B"/>
    <w:pPr>
      <w:ind w:left="720"/>
      <w:contextualSpacing/>
    </w:pPr>
  </w:style>
  <w:style w:type="character" w:styleId="IntenseEmphasis">
    <w:name w:val="Intense Emphasis"/>
    <w:basedOn w:val="DefaultParagraphFont"/>
    <w:uiPriority w:val="21"/>
    <w:qFormat/>
    <w:rsid w:val="0021747B"/>
    <w:rPr>
      <w:i/>
      <w:iCs/>
      <w:color w:val="365F91" w:themeColor="accent1" w:themeShade="BF"/>
    </w:rPr>
  </w:style>
  <w:style w:type="paragraph" w:styleId="IntenseQuote">
    <w:name w:val="Intense Quote"/>
    <w:basedOn w:val="Normal"/>
    <w:next w:val="Normal"/>
    <w:link w:val="IntenseQuoteChar"/>
    <w:uiPriority w:val="30"/>
    <w:qFormat/>
    <w:rsid w:val="0021747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1747B"/>
    <w:rPr>
      <w:i/>
      <w:iCs/>
      <w:color w:val="365F91" w:themeColor="accent1" w:themeShade="BF"/>
    </w:rPr>
  </w:style>
  <w:style w:type="character" w:styleId="IntenseReference">
    <w:name w:val="Intense Reference"/>
    <w:basedOn w:val="DefaultParagraphFont"/>
    <w:uiPriority w:val="32"/>
    <w:qFormat/>
    <w:rsid w:val="0021747B"/>
    <w:rPr>
      <w:b/>
      <w:bCs/>
      <w:smallCaps/>
      <w:color w:val="365F91" w:themeColor="accent1" w:themeShade="BF"/>
      <w:spacing w:val="5"/>
    </w:rPr>
  </w:style>
  <w:style w:type="paragraph" w:styleId="Header">
    <w:name w:val="header"/>
    <w:basedOn w:val="Normal"/>
    <w:link w:val="HeaderChar"/>
    <w:uiPriority w:val="99"/>
    <w:unhideWhenUsed/>
    <w:rsid w:val="00637E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7E11"/>
  </w:style>
  <w:style w:type="paragraph" w:styleId="Footer">
    <w:name w:val="footer"/>
    <w:basedOn w:val="Normal"/>
    <w:link w:val="FooterChar"/>
    <w:uiPriority w:val="99"/>
    <w:unhideWhenUsed/>
    <w:rsid w:val="00637E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7E11"/>
  </w:style>
  <w:style w:type="character" w:styleId="Hyperlink">
    <w:name w:val="Hyperlink"/>
    <w:basedOn w:val="DefaultParagraphFont"/>
    <w:uiPriority w:val="99"/>
    <w:unhideWhenUsed/>
    <w:rsid w:val="007F2AA7"/>
    <w:rPr>
      <w:color w:val="0000FF" w:themeColor="hyperlink"/>
      <w:u w:val="single"/>
    </w:rPr>
  </w:style>
  <w:style w:type="paragraph" w:styleId="Revision">
    <w:name w:val="Revision"/>
    <w:hidden/>
    <w:uiPriority w:val="99"/>
    <w:semiHidden/>
    <w:rsid w:val="0050583A"/>
    <w:pPr>
      <w:spacing w:after="0" w:line="240" w:lineRule="auto"/>
    </w:pPr>
  </w:style>
  <w:style w:type="character" w:styleId="CommentReference">
    <w:name w:val="annotation reference"/>
    <w:basedOn w:val="DefaultParagraphFont"/>
    <w:uiPriority w:val="99"/>
    <w:semiHidden/>
    <w:unhideWhenUsed/>
    <w:rsid w:val="00FA0A0C"/>
    <w:rPr>
      <w:sz w:val="16"/>
      <w:szCs w:val="16"/>
    </w:rPr>
  </w:style>
  <w:style w:type="paragraph" w:styleId="CommentText">
    <w:name w:val="annotation text"/>
    <w:basedOn w:val="Normal"/>
    <w:link w:val="CommentTextChar"/>
    <w:uiPriority w:val="99"/>
    <w:unhideWhenUsed/>
    <w:rsid w:val="00FA0A0C"/>
    <w:pPr>
      <w:spacing w:line="240" w:lineRule="auto"/>
    </w:pPr>
    <w:rPr>
      <w:sz w:val="20"/>
      <w:szCs w:val="20"/>
    </w:rPr>
  </w:style>
  <w:style w:type="character" w:customStyle="1" w:styleId="CommentTextChar">
    <w:name w:val="Comment Text Char"/>
    <w:basedOn w:val="DefaultParagraphFont"/>
    <w:link w:val="CommentText"/>
    <w:uiPriority w:val="99"/>
    <w:rsid w:val="00FA0A0C"/>
    <w:rPr>
      <w:sz w:val="20"/>
      <w:szCs w:val="20"/>
    </w:rPr>
  </w:style>
  <w:style w:type="paragraph" w:styleId="CommentSubject">
    <w:name w:val="annotation subject"/>
    <w:basedOn w:val="CommentText"/>
    <w:next w:val="CommentText"/>
    <w:link w:val="CommentSubjectChar"/>
    <w:uiPriority w:val="99"/>
    <w:semiHidden/>
    <w:unhideWhenUsed/>
    <w:rsid w:val="00FA0A0C"/>
    <w:rPr>
      <w:b/>
      <w:bCs/>
    </w:rPr>
  </w:style>
  <w:style w:type="character" w:customStyle="1" w:styleId="CommentSubjectChar">
    <w:name w:val="Comment Subject Char"/>
    <w:basedOn w:val="CommentTextChar"/>
    <w:link w:val="CommentSubject"/>
    <w:uiPriority w:val="99"/>
    <w:semiHidden/>
    <w:rsid w:val="00FA0A0C"/>
    <w:rPr>
      <w:b/>
      <w:bCs/>
      <w:sz w:val="20"/>
      <w:szCs w:val="20"/>
    </w:rPr>
  </w:style>
  <w:style w:type="character" w:styleId="Strong">
    <w:name w:val="Strong"/>
    <w:basedOn w:val="DefaultParagraphFont"/>
    <w:uiPriority w:val="22"/>
    <w:qFormat/>
    <w:rsid w:val="000F072F"/>
    <w:rPr>
      <w:b/>
      <w:bCs/>
    </w:rPr>
  </w:style>
  <w:style w:type="character" w:styleId="UnresolvedMention">
    <w:name w:val="Unresolved Mention"/>
    <w:basedOn w:val="DefaultParagraphFont"/>
    <w:uiPriority w:val="99"/>
    <w:semiHidden/>
    <w:unhideWhenUsed/>
    <w:rsid w:val="00B36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sfa.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zotou@white-athens.agency" TargetMode="External"/><Relationship Id="rId4" Type="http://schemas.openxmlformats.org/officeDocument/2006/relationships/settings" Target="settings.xml"/><Relationship Id="rId9" Type="http://schemas.openxmlformats.org/officeDocument/2006/relationships/hyperlink" Target="mailto:a.chatziantoniou@desf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379B7-5C01-4F13-8C5C-1BCA0555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593</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Publicis Consultants</dc:creator>
  <cp:keywords/>
  <dc:description/>
  <cp:lastModifiedBy>Publicis Consultants</cp:lastModifiedBy>
  <cp:revision>3</cp:revision>
  <dcterms:created xsi:type="dcterms:W3CDTF">2026-03-27T13:59:00Z</dcterms:created>
  <dcterms:modified xsi:type="dcterms:W3CDTF">2026-03-27T14:01:00Z</dcterms:modified>
</cp:coreProperties>
</file>